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abe40afd84d09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49392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IVANČICA ORIOVAC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I - IX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480.417,14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570.586,34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480.505,14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558.862,87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11.723,47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13.532,38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4.907,56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13.532,38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4.907,56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36,3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6.815,91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Šifra X001 rezultat je viška prihoda poslovanja tekuće godine u iznosu od 11.723,47 eura. 
Manjak prihoda od nefinancijske imovine šifra Y002 nastao je kupovinom dugotrajne imovine vrtića tijekom vremena izvještajnog razdoblja. 
Višak prihoda i primitaka šifra X005 rezultat je viška prihoda poslovanja šifra X001 umanjen za manjak prihoda šifra Y002, te ukupan višak prihoda i primitaka u ovom izvještajnom razdoblju iznosi 6.815,91 eura.</w:t>
      </w:r>
    </w:p>
    <w:p>
      <w:r>
        <w:br/>
      </w:r>
    </w:p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9b1cecdc3747c3" /></Relationships>
</file>